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6" w:rsidRDefault="00CE46B6" w:rsidP="00CE46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Trnovec nad Váhom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46B6" w:rsidRDefault="00CE46B6" w:rsidP="00CE46B6">
      <w:pPr>
        <w:jc w:val="center"/>
        <w:rPr>
          <w:b/>
          <w:sz w:val="24"/>
          <w:szCs w:val="24"/>
        </w:rPr>
      </w:pPr>
    </w:p>
    <w:p w:rsidR="00CE46B6" w:rsidRDefault="00CE46B6" w:rsidP="00CE46B6">
      <w:pPr>
        <w:jc w:val="center"/>
        <w:rPr>
          <w:b/>
          <w:sz w:val="24"/>
          <w:szCs w:val="24"/>
        </w:rPr>
      </w:pPr>
    </w:p>
    <w:p w:rsidR="00CE46B6" w:rsidRDefault="00CE46B6" w:rsidP="00CE46B6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 č. 1 na 2. zasadnutie Obecného zastupiteľstva v Trnovci nad Váhom dňa 26. 1. 2015</w:t>
      </w:r>
    </w:p>
    <w:p w:rsidR="00CE46B6" w:rsidRDefault="00CE46B6" w:rsidP="00CE46B6">
      <w:pPr>
        <w:jc w:val="both"/>
        <w:rPr>
          <w:sz w:val="24"/>
          <w:szCs w:val="24"/>
        </w:rPr>
      </w:pPr>
    </w:p>
    <w:p w:rsidR="00CE46B6" w:rsidRDefault="00CE46B6" w:rsidP="00CE46B6">
      <w:pPr>
        <w:jc w:val="both"/>
        <w:rPr>
          <w:sz w:val="24"/>
          <w:szCs w:val="24"/>
        </w:rPr>
      </w:pPr>
      <w:r>
        <w:rPr>
          <w:sz w:val="24"/>
          <w:szCs w:val="24"/>
        </w:rPr>
        <w:t>K bodu programu 2</w:t>
      </w:r>
    </w:p>
    <w:p w:rsidR="00CE46B6" w:rsidRDefault="00CE46B6" w:rsidP="00CE4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„Zloženie sľubu 1. náhradníka, ktorý nastupuje na uprázdnený mandát poslanca OZ“</w:t>
      </w:r>
    </w:p>
    <w:p w:rsidR="00CE46B6" w:rsidRDefault="00CE46B6" w:rsidP="00CE46B6">
      <w:pPr>
        <w:jc w:val="both"/>
        <w:rPr>
          <w:b/>
          <w:sz w:val="28"/>
          <w:szCs w:val="28"/>
        </w:rPr>
      </w:pPr>
    </w:p>
    <w:p w:rsidR="00CE46B6" w:rsidRDefault="00CE46B6" w:rsidP="00CE46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starosta obce </w:t>
      </w:r>
    </w:p>
    <w:p w:rsidR="00CE46B6" w:rsidRDefault="00CE46B6" w:rsidP="00CE46B6">
      <w:pPr>
        <w:jc w:val="both"/>
        <w:rPr>
          <w:sz w:val="24"/>
          <w:szCs w:val="24"/>
        </w:rPr>
      </w:pPr>
    </w:p>
    <w:p w:rsidR="00CE46B6" w:rsidRDefault="00CE46B6" w:rsidP="00CE46B6">
      <w:pPr>
        <w:jc w:val="both"/>
        <w:rPr>
          <w:sz w:val="24"/>
          <w:szCs w:val="24"/>
        </w:rPr>
      </w:pPr>
    </w:p>
    <w:p w:rsidR="00CE46B6" w:rsidRDefault="00CE46B6" w:rsidP="00CE46B6">
      <w:pPr>
        <w:jc w:val="both"/>
        <w:rPr>
          <w:b/>
          <w:sz w:val="28"/>
          <w:szCs w:val="28"/>
        </w:rPr>
      </w:pPr>
    </w:p>
    <w:p w:rsidR="00CE46B6" w:rsidRDefault="00CE46B6" w:rsidP="00CE46B6">
      <w:pPr>
        <w:jc w:val="both"/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CE46B6" w:rsidRDefault="00CE46B6" w:rsidP="00CE46B6">
      <w:pPr>
        <w:jc w:val="both"/>
        <w:rPr>
          <w:sz w:val="24"/>
          <w:szCs w:val="24"/>
        </w:rPr>
      </w:pPr>
    </w:p>
    <w:p w:rsidR="00CE46B6" w:rsidRDefault="00CE46B6" w:rsidP="00CE46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Ing. Július Rábek, starosta obce</w:t>
      </w:r>
    </w:p>
    <w:p w:rsidR="00CE46B6" w:rsidRDefault="00CE46B6" w:rsidP="00CE46B6">
      <w:pPr>
        <w:jc w:val="both"/>
        <w:rPr>
          <w:sz w:val="24"/>
          <w:szCs w:val="24"/>
        </w:rPr>
      </w:pPr>
    </w:p>
    <w:p w:rsidR="00CE46B6" w:rsidRPr="00CE46B6" w:rsidRDefault="00CE46B6" w:rsidP="00CE46B6">
      <w:pPr>
        <w:jc w:val="both"/>
        <w:rPr>
          <w:b/>
          <w:sz w:val="24"/>
          <w:szCs w:val="24"/>
        </w:rPr>
      </w:pPr>
      <w:r w:rsidRPr="00CE46B6">
        <w:rPr>
          <w:b/>
          <w:sz w:val="24"/>
          <w:szCs w:val="24"/>
        </w:rPr>
        <w:t>Dôvodová správa k materiálu č. 1 na 2. zasadnutie OZ  v Trnovci nad Váhom</w:t>
      </w:r>
    </w:p>
    <w:p w:rsidR="00CE46B6" w:rsidRPr="00CE46B6" w:rsidRDefault="00CE46B6" w:rsidP="00CE46B6">
      <w:pPr>
        <w:spacing w:after="0" w:line="240" w:lineRule="auto"/>
      </w:pPr>
      <w:r w:rsidRPr="00CE46B6">
        <w:t xml:space="preserve">V zmysle zákona o Obecnom zriadení č. 369/1990 Z. z. v znení neskorších predpisov a doplnení na ustanovujúcom zasadnutí Obecného zastupiteľstva v Trnovci nad Váhom dňa 15. decembra 2014 bola menovaná mandátová komisia v zložení PaedDr. Imrich </w:t>
      </w:r>
      <w:proofErr w:type="spellStart"/>
      <w:r w:rsidRPr="00CE46B6">
        <w:t>Suba</w:t>
      </w:r>
      <w:proofErr w:type="spellEnd"/>
      <w:r w:rsidRPr="00CE46B6">
        <w:t xml:space="preserve">, PhD., PaedDr. Ladislav </w:t>
      </w:r>
      <w:proofErr w:type="spellStart"/>
      <w:r w:rsidRPr="00CE46B6">
        <w:t>Kosztanko</w:t>
      </w:r>
      <w:proofErr w:type="spellEnd"/>
      <w:r w:rsidRPr="00CE46B6">
        <w:t xml:space="preserve">, RNDr. Edita </w:t>
      </w:r>
      <w:proofErr w:type="spellStart"/>
      <w:r w:rsidRPr="00CE46B6">
        <w:t>Belovičová</w:t>
      </w:r>
      <w:proofErr w:type="spellEnd"/>
      <w:r w:rsidRPr="00CE46B6">
        <w:t xml:space="preserve">. Táto komisia konštatovala, že na uprázdnený mandát poslanca OZ nastupuje 1. náhradník, Ing. Petronela </w:t>
      </w:r>
      <w:proofErr w:type="spellStart"/>
      <w:r w:rsidRPr="00CE46B6">
        <w:t>Vižďáková</w:t>
      </w:r>
      <w:proofErr w:type="spellEnd"/>
      <w:r w:rsidRPr="00CE46B6">
        <w:t xml:space="preserve">, ktorá na prvom zasadnutí, na ktorom sa zúčastní, zloží predpísaný sľub poslanca OZ. </w:t>
      </w:r>
    </w:p>
    <w:p w:rsidR="00CE46B6" w:rsidRPr="00CE46B6" w:rsidRDefault="00CE46B6" w:rsidP="00CE46B6">
      <w:pPr>
        <w:spacing w:after="0" w:line="240" w:lineRule="auto"/>
      </w:pPr>
      <w:r w:rsidRPr="00CE46B6">
        <w:t xml:space="preserve">Ing. Petronela </w:t>
      </w:r>
      <w:proofErr w:type="spellStart"/>
      <w:r w:rsidRPr="00CE46B6">
        <w:t>Vižďáková</w:t>
      </w:r>
      <w:proofErr w:type="spellEnd"/>
      <w:r w:rsidRPr="00CE46B6">
        <w:t xml:space="preserve"> bola na zasadnutie pozvaná dňa 20. 1. 2015.</w:t>
      </w:r>
    </w:p>
    <w:p w:rsidR="00CE46B6" w:rsidRPr="00CE46B6" w:rsidRDefault="00CE46B6" w:rsidP="00CE46B6">
      <w:pPr>
        <w:spacing w:after="0" w:line="240" w:lineRule="auto"/>
      </w:pPr>
      <w:r w:rsidRPr="00CE46B6">
        <w:t>Osvedčenie o zvolení za poslanca OZ v súlade s ustanovením § 51 ods. 2 zákona č. 346/1990 v znení neskorších predpisov podpisuje starosta obce.</w:t>
      </w:r>
    </w:p>
    <w:p w:rsidR="00CE46B6" w:rsidRPr="00CE46B6" w:rsidRDefault="00CE46B6" w:rsidP="00CE46B6">
      <w:pPr>
        <w:spacing w:after="0" w:line="240" w:lineRule="auto"/>
      </w:pPr>
      <w:r w:rsidRPr="00CE46B6">
        <w:t xml:space="preserve">Mandátová komisia v zložení PaedDr. Imrich </w:t>
      </w:r>
      <w:proofErr w:type="spellStart"/>
      <w:r w:rsidRPr="00CE46B6">
        <w:t>Suba</w:t>
      </w:r>
      <w:proofErr w:type="spellEnd"/>
      <w:r w:rsidRPr="00CE46B6">
        <w:t xml:space="preserve">, PhD., PaedDr. Ladislav </w:t>
      </w:r>
      <w:proofErr w:type="spellStart"/>
      <w:r w:rsidRPr="00CE46B6">
        <w:t>Kosztanko</w:t>
      </w:r>
      <w:proofErr w:type="spellEnd"/>
      <w:r w:rsidRPr="00CE46B6">
        <w:t xml:space="preserve">, </w:t>
      </w:r>
      <w:proofErr w:type="spellStart"/>
      <w:r w:rsidRPr="00CE46B6">
        <w:t>RnDr</w:t>
      </w:r>
      <w:proofErr w:type="spellEnd"/>
      <w:r w:rsidRPr="00CE46B6">
        <w:t xml:space="preserve">. Edita </w:t>
      </w:r>
      <w:proofErr w:type="spellStart"/>
      <w:r w:rsidRPr="00CE46B6">
        <w:t>Belovičová</w:t>
      </w:r>
      <w:proofErr w:type="spellEnd"/>
      <w:r w:rsidRPr="00CE46B6">
        <w:t xml:space="preserve"> konštatuje, že Ing. Petronela </w:t>
      </w:r>
      <w:proofErr w:type="spellStart"/>
      <w:r w:rsidRPr="00CE46B6">
        <w:t>Vižďáková</w:t>
      </w:r>
      <w:proofErr w:type="spellEnd"/>
      <w:r w:rsidRPr="00CE46B6">
        <w:t>, 1. náhradník na uprázdnený mandát poslanca, zložila zákonom predpísaný sľub poslanca do rúk starostu obce a spĺňa podmienky nezlučiteľnosti funkcií.</w:t>
      </w:r>
    </w:p>
    <w:p w:rsidR="00696F39" w:rsidRDefault="00696F39"/>
    <w:p w:rsidR="00CE46B6" w:rsidRDefault="00CE46B6"/>
    <w:p w:rsidR="00CE46B6" w:rsidRDefault="00CE46B6"/>
    <w:p w:rsidR="00CE46B6" w:rsidRDefault="00CE46B6"/>
    <w:p w:rsidR="00CE46B6" w:rsidRDefault="00CE46B6"/>
    <w:p w:rsidR="00CE46B6" w:rsidRDefault="00CE46B6">
      <w:bookmarkStart w:id="0" w:name="_GoBack"/>
      <w:bookmarkEnd w:id="0"/>
    </w:p>
    <w:sectPr w:rsidR="00CE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6B6"/>
    <w:rsid w:val="000A5114"/>
    <w:rsid w:val="0017601B"/>
    <w:rsid w:val="00180AF8"/>
    <w:rsid w:val="00696F39"/>
    <w:rsid w:val="0088006F"/>
    <w:rsid w:val="00A21A3D"/>
    <w:rsid w:val="00C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6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6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2015-02-04T09:51:00Z</dcterms:created>
  <dcterms:modified xsi:type="dcterms:W3CDTF">2015-02-04T09:54:00Z</dcterms:modified>
</cp:coreProperties>
</file>